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1" w:rsidRDefault="0093590D">
      <w:pPr>
        <w:pStyle w:val="1"/>
        <w:spacing w:before="78"/>
        <w:ind w:right="3749"/>
      </w:pPr>
      <w:r>
        <w:t>Памятка для участников ОГЭ и их родителей / законных представителей о правилах проведения ОГЭ в 202</w:t>
      </w:r>
      <w:r w:rsidR="007B3E62">
        <w:t>4</w:t>
      </w:r>
      <w:r>
        <w:t xml:space="preserve"> году.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 xml:space="preserve"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ответы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языку.</w:t>
      </w:r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r>
        <w:t>с</w:t>
      </w:r>
      <w:proofErr w:type="gramEnd"/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</w:t>
      </w:r>
      <w:r w:rsidR="007B3E62">
        <w:t>с</w:t>
      </w:r>
      <w:r>
        <w:t xml:space="preserve"> Порядк</w:t>
      </w:r>
      <w:r w:rsidR="007B3E62">
        <w:t>ом</w:t>
      </w:r>
      <w:r>
        <w:t xml:space="preserve">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proofErr w:type="gramStart"/>
      <w:r>
        <w:t>указанными</w:t>
      </w:r>
      <w:r>
        <w:rPr>
          <w:spacing w:val="-6"/>
        </w:rPr>
        <w:t xml:space="preserve"> </w:t>
      </w:r>
      <w:r>
        <w:t xml:space="preserve"> Порядк</w:t>
      </w:r>
      <w:r w:rsidR="007B3E62">
        <w:t>е</w:t>
      </w:r>
      <w:proofErr w:type="gramEnd"/>
      <w:r>
        <w:t>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 w:rsidR="007B3E62">
        <w:rPr>
          <w:b/>
        </w:rPr>
        <w:t>– до 01 марта 2024</w:t>
      </w:r>
      <w:r>
        <w:rPr>
          <w:b/>
        </w:rPr>
        <w:t xml:space="preserve">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психолого-медико-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>
        <w:rPr>
          <w:spacing w:val="-1"/>
        </w:rPr>
        <w:t xml:space="preserve"> </w:t>
      </w:r>
      <w:proofErr w:type="gramStart"/>
      <w:r>
        <w:t>ПМПК..</w:t>
      </w:r>
      <w:proofErr w:type="gramEnd"/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в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 xml:space="preserve">9 </w:t>
      </w:r>
      <w:proofErr w:type="gramStart"/>
      <w:r>
        <w:t>В</w:t>
      </w:r>
      <w:proofErr w:type="gramEnd"/>
      <w: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или перьевой ручками с чернилами черного цвета. 14 Участник ОГЭ может при выполнении работы использовать черновики и делать пометки в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</w:t>
      </w:r>
      <w:r w:rsidR="007B3E62">
        <w:t>3</w:t>
      </w:r>
      <w:r>
        <w:t>-202</w:t>
      </w:r>
      <w:r w:rsidR="007B3E62">
        <w:t>4</w:t>
      </w:r>
      <w:r>
        <w:t xml:space="preserve"> учебном году основанием для получения аттестата об основном общем образовании является успешное прохождение ГИА-9 по всем четырем предметам. В 202</w:t>
      </w:r>
      <w:r w:rsidR="007B3E62">
        <w:t>4</w:t>
      </w:r>
      <w:r>
        <w:t xml:space="preserve">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</w:t>
      </w:r>
      <w:r w:rsidR="007B3E62">
        <w:t xml:space="preserve"> соответствующую информацию в РЦОИ</w:t>
      </w:r>
      <w:r>
        <w:t xml:space="preserve">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</w:t>
      </w:r>
      <w:r w:rsidR="007B3E62">
        <w:t>4</w:t>
      </w:r>
      <w:r>
        <w:t xml:space="preserve"> </w:t>
      </w:r>
      <w:r w:rsidR="00F025C7">
        <w:t>апреля 2023 г. N 232/</w:t>
      </w:r>
      <w:r>
        <w:t>5</w:t>
      </w:r>
      <w:r w:rsidR="00F025C7">
        <w:t>5</w:t>
      </w:r>
      <w:r>
        <w:t>1.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93590D" w:rsidRDefault="0093590D" w:rsidP="0093590D">
      <w:pPr>
        <w:pStyle w:val="a3"/>
        <w:rPr>
          <w:b/>
        </w:rPr>
      </w:pPr>
      <w:bookmarkStart w:id="0" w:name="_GoBack"/>
      <w:bookmarkEnd w:id="0"/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 w15:restartNumberingAfterBreak="0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 w15:restartNumberingAfterBreak="0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 w15:restartNumberingAfterBreak="0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1"/>
    <w:rsid w:val="007B3E62"/>
    <w:rsid w:val="0093590D"/>
    <w:rsid w:val="00AD4791"/>
    <w:rsid w:val="00F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4F7B"/>
  <w15:docId w15:val="{C46FBF1C-4963-476D-AD15-ABF1B82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79081746269</cp:lastModifiedBy>
  <cp:revision>2</cp:revision>
  <dcterms:created xsi:type="dcterms:W3CDTF">2023-11-06T08:52:00Z</dcterms:created>
  <dcterms:modified xsi:type="dcterms:W3CDTF">2023-11-06T08:52:00Z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